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91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60"/>
      </w:tblGrid>
      <w:tr w:rsidR="00A67B16">
        <w:trPr>
          <w:trHeight w:val="2285"/>
        </w:trPr>
        <w:tc>
          <w:tcPr>
            <w:tcW w:w="9160" w:type="dxa"/>
            <w:tcBorders>
              <w:top w:val="nil"/>
              <w:left w:val="nil"/>
              <w:bottom w:val="nil"/>
              <w:right w:val="nil"/>
            </w:tcBorders>
            <w:shd w:val="clear" w:color="auto" w:fill="auto"/>
            <w:tcMar>
              <w:top w:w="80" w:type="dxa"/>
              <w:left w:w="80" w:type="dxa"/>
              <w:bottom w:w="80" w:type="dxa"/>
              <w:right w:w="80" w:type="dxa"/>
            </w:tcMar>
            <w:vAlign w:val="center"/>
          </w:tcPr>
          <w:p w:rsidR="00A67B16" w:rsidRDefault="009E1EDD">
            <w:r>
              <w:rPr>
                <w:noProof/>
              </w:rPr>
              <w:drawing>
                <wp:inline distT="0" distB="0" distL="0" distR="0">
                  <wp:extent cx="5758854" cy="1444030"/>
                  <wp:effectExtent l="0" t="0" r="0" b="0"/>
                  <wp:docPr id="1073741825" name="officeArt object" descr="logo-header-web_1.png"/>
                  <wp:cNvGraphicFramePr/>
                  <a:graphic xmlns:a="http://schemas.openxmlformats.org/drawingml/2006/main">
                    <a:graphicData uri="http://schemas.openxmlformats.org/drawingml/2006/picture">
                      <pic:pic xmlns:pic="http://schemas.openxmlformats.org/drawingml/2006/picture">
                        <pic:nvPicPr>
                          <pic:cNvPr id="1073741825" name="logo-header-web_1.png" descr="logo-header-web_1.png"/>
                          <pic:cNvPicPr>
                            <a:picLocks noChangeAspect="1"/>
                          </pic:cNvPicPr>
                        </pic:nvPicPr>
                        <pic:blipFill>
                          <a:blip r:embed="rId7"/>
                          <a:stretch>
                            <a:fillRect/>
                          </a:stretch>
                        </pic:blipFill>
                        <pic:spPr>
                          <a:xfrm>
                            <a:off x="0" y="0"/>
                            <a:ext cx="5758854" cy="1444030"/>
                          </a:xfrm>
                          <a:prstGeom prst="rect">
                            <a:avLst/>
                          </a:prstGeom>
                          <a:ln w="12700" cap="flat">
                            <a:noFill/>
                            <a:miter lim="400000"/>
                          </a:ln>
                          <a:effectLst/>
                        </pic:spPr>
                      </pic:pic>
                    </a:graphicData>
                  </a:graphic>
                </wp:inline>
              </w:drawing>
            </w:r>
          </w:p>
        </w:tc>
      </w:tr>
    </w:tbl>
    <w:p w:rsidR="00A67B16" w:rsidRDefault="00A67B16">
      <w:pPr>
        <w:pStyle w:val="Body"/>
        <w:widowControl w:val="0"/>
        <w:ind w:left="216" w:hanging="216"/>
      </w:pPr>
    </w:p>
    <w:p w:rsidR="00A67B16" w:rsidRDefault="00A67B16">
      <w:pPr>
        <w:pStyle w:val="BodyA"/>
        <w:widowControl w:val="0"/>
        <w:ind w:left="108" w:hanging="108"/>
      </w:pPr>
    </w:p>
    <w:p w:rsidR="00A67B16" w:rsidRDefault="00A67B16">
      <w:pPr>
        <w:pStyle w:val="BodyA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p>
    <w:p w:rsidR="00CF0EDB" w:rsidRPr="00CF0EDB" w:rsidRDefault="00CF0EDB" w:rsidP="00CF0EDB">
      <w:pPr>
        <w:spacing w:line="360" w:lineRule="auto"/>
        <w:jc w:val="both"/>
        <w:rPr>
          <w:rFonts w:ascii="Trebuchet MS" w:hAnsi="Trebuchet MS"/>
          <w:b/>
          <w:bCs/>
          <w:sz w:val="36"/>
          <w:szCs w:val="36"/>
        </w:rPr>
      </w:pPr>
      <w:r w:rsidRPr="00CF0EDB">
        <w:rPr>
          <w:rFonts w:ascii="Trebuchet MS" w:hAnsi="Trebuchet MS"/>
          <w:b/>
          <w:bCs/>
          <w:sz w:val="36"/>
          <w:szCs w:val="36"/>
        </w:rPr>
        <w:t>Exekutivfunktionen: Diagnostik und Behandlung</w:t>
      </w:r>
    </w:p>
    <w:p w:rsidR="00A67B16" w:rsidRDefault="00CF0EDB">
      <w:pPr>
        <w:spacing w:line="360" w:lineRule="auto"/>
        <w:jc w:val="both"/>
        <w:rPr>
          <w:rFonts w:ascii="Trebuchet MS" w:hAnsi="Trebuchet MS"/>
        </w:rPr>
      </w:pPr>
      <w:r>
        <w:rPr>
          <w:rFonts w:ascii="Trebuchet MS" w:hAnsi="Trebuchet MS"/>
        </w:rPr>
        <w:t>Dr. Dipl.-Psych. Steffen Aschenbrenner</w:t>
      </w:r>
    </w:p>
    <w:p w:rsidR="002E2E1D" w:rsidRPr="002E2E1D" w:rsidRDefault="002E2E1D">
      <w:pPr>
        <w:spacing w:line="360" w:lineRule="auto"/>
        <w:jc w:val="both"/>
        <w:rPr>
          <w:rFonts w:ascii="Trebuchet MS" w:eastAsia="Trebuchet MS" w:hAnsi="Trebuchet MS" w:cs="Trebuchet MS"/>
          <w:b/>
          <w:bCs/>
        </w:rPr>
      </w:pPr>
      <w:r w:rsidRPr="002E2E1D">
        <w:rPr>
          <w:rFonts w:ascii="Trebuchet MS" w:hAnsi="Trebuchet MS"/>
          <w:b/>
          <w:bCs/>
        </w:rPr>
        <w:t>ACHTUNG: Terminänderung!</w:t>
      </w:r>
    </w:p>
    <w:p w:rsidR="00A67B16" w:rsidRDefault="00EB7594">
      <w:pPr>
        <w:spacing w:line="360" w:lineRule="auto"/>
        <w:jc w:val="both"/>
        <w:rPr>
          <w:rFonts w:ascii="Trebuchet MS" w:hAnsi="Trebuchet MS"/>
        </w:rPr>
      </w:pPr>
      <w:r>
        <w:rPr>
          <w:rFonts w:ascii="Trebuchet MS" w:hAnsi="Trebuchet MS"/>
        </w:rPr>
        <w:t xml:space="preserve">Freitag, </w:t>
      </w:r>
      <w:r w:rsidR="003B1CFE" w:rsidRPr="002E2E1D">
        <w:rPr>
          <w:rFonts w:ascii="Trebuchet MS" w:hAnsi="Trebuchet MS"/>
          <w:strike/>
        </w:rPr>
        <w:t>13</w:t>
      </w:r>
      <w:r w:rsidR="00F92315" w:rsidRPr="002E2E1D">
        <w:rPr>
          <w:rFonts w:ascii="Trebuchet MS" w:hAnsi="Trebuchet MS"/>
          <w:strike/>
        </w:rPr>
        <w:t xml:space="preserve">. </w:t>
      </w:r>
      <w:r w:rsidR="003B1CFE" w:rsidRPr="002E2E1D">
        <w:rPr>
          <w:rFonts w:ascii="Trebuchet MS" w:hAnsi="Trebuchet MS"/>
          <w:strike/>
        </w:rPr>
        <w:t>März</w:t>
      </w:r>
      <w:r w:rsidR="00F92315" w:rsidRPr="002E2E1D">
        <w:rPr>
          <w:rFonts w:ascii="Trebuchet MS" w:hAnsi="Trebuchet MS"/>
          <w:strike/>
        </w:rPr>
        <w:t xml:space="preserve"> </w:t>
      </w:r>
      <w:r w:rsidR="003B1CFE" w:rsidRPr="002E2E1D">
        <w:rPr>
          <w:rFonts w:ascii="Trebuchet MS" w:hAnsi="Trebuchet MS"/>
          <w:strike/>
        </w:rPr>
        <w:t>2020</w:t>
      </w:r>
      <w:r w:rsidR="002E2E1D">
        <w:rPr>
          <w:rFonts w:ascii="Trebuchet MS" w:hAnsi="Trebuchet MS"/>
        </w:rPr>
        <w:tab/>
        <w:t>08. Mai 2020</w:t>
      </w:r>
      <w:r w:rsidR="00F92315">
        <w:rPr>
          <w:rFonts w:ascii="Trebuchet MS" w:hAnsi="Trebuchet MS"/>
        </w:rPr>
        <w:tab/>
      </w:r>
      <w:r w:rsidR="002E2E1D">
        <w:rPr>
          <w:rFonts w:ascii="Trebuchet MS" w:hAnsi="Trebuchet MS"/>
        </w:rPr>
        <w:tab/>
      </w:r>
      <w:r w:rsidR="00F92315">
        <w:rPr>
          <w:rFonts w:ascii="Trebuchet MS" w:hAnsi="Trebuchet MS"/>
        </w:rPr>
        <w:t>1</w:t>
      </w:r>
      <w:r w:rsidR="00460B06">
        <w:rPr>
          <w:rFonts w:ascii="Trebuchet MS" w:hAnsi="Trebuchet MS"/>
        </w:rPr>
        <w:t>1</w:t>
      </w:r>
      <w:r w:rsidR="00706620">
        <w:rPr>
          <w:rFonts w:ascii="Trebuchet MS" w:hAnsi="Trebuchet MS"/>
        </w:rPr>
        <w:t>:00 – 1</w:t>
      </w:r>
      <w:r w:rsidR="00460B06">
        <w:rPr>
          <w:rFonts w:ascii="Trebuchet MS" w:hAnsi="Trebuchet MS"/>
        </w:rPr>
        <w:t>8</w:t>
      </w:r>
      <w:bookmarkStart w:id="0" w:name="_GoBack"/>
      <w:bookmarkEnd w:id="0"/>
      <w:r w:rsidR="00706620">
        <w:rPr>
          <w:rFonts w:ascii="Trebuchet MS" w:hAnsi="Trebuchet MS"/>
        </w:rPr>
        <w:t>:30 Uhr</w:t>
      </w:r>
    </w:p>
    <w:p w:rsidR="00706620" w:rsidRDefault="00706620">
      <w:pPr>
        <w:spacing w:line="360" w:lineRule="auto"/>
        <w:jc w:val="both"/>
        <w:rPr>
          <w:rFonts w:ascii="Trebuchet MS" w:eastAsia="Trebuchet MS" w:hAnsi="Trebuchet MS" w:cs="Trebuchet MS"/>
        </w:rPr>
      </w:pPr>
      <w:r>
        <w:rPr>
          <w:rFonts w:ascii="Trebuchet MS" w:hAnsi="Trebuchet MS"/>
        </w:rPr>
        <w:t xml:space="preserve">Samstag, </w:t>
      </w:r>
      <w:r w:rsidR="003B1CFE" w:rsidRPr="002E2E1D">
        <w:rPr>
          <w:rFonts w:ascii="Trebuchet MS" w:hAnsi="Trebuchet MS"/>
          <w:strike/>
        </w:rPr>
        <w:t>14</w:t>
      </w:r>
      <w:r w:rsidRPr="002E2E1D">
        <w:rPr>
          <w:rFonts w:ascii="Trebuchet MS" w:hAnsi="Trebuchet MS"/>
          <w:strike/>
        </w:rPr>
        <w:t xml:space="preserve">. </w:t>
      </w:r>
      <w:r w:rsidR="003B1CFE" w:rsidRPr="002E2E1D">
        <w:rPr>
          <w:rFonts w:ascii="Trebuchet MS" w:hAnsi="Trebuchet MS"/>
          <w:strike/>
        </w:rPr>
        <w:t>März</w:t>
      </w:r>
      <w:r w:rsidRPr="002E2E1D">
        <w:rPr>
          <w:rFonts w:ascii="Trebuchet MS" w:hAnsi="Trebuchet MS"/>
          <w:strike/>
        </w:rPr>
        <w:t xml:space="preserve"> 20</w:t>
      </w:r>
      <w:r w:rsidR="003B1CFE" w:rsidRPr="002E2E1D">
        <w:rPr>
          <w:rFonts w:ascii="Trebuchet MS" w:hAnsi="Trebuchet MS"/>
          <w:strike/>
        </w:rPr>
        <w:t>20</w:t>
      </w:r>
      <w:r>
        <w:rPr>
          <w:rFonts w:ascii="Trebuchet MS" w:hAnsi="Trebuchet MS"/>
        </w:rPr>
        <w:tab/>
      </w:r>
      <w:r w:rsidR="002E2E1D">
        <w:rPr>
          <w:rFonts w:ascii="Trebuchet MS" w:hAnsi="Trebuchet MS"/>
        </w:rPr>
        <w:t>09. Mai 2020</w:t>
      </w:r>
      <w:r w:rsidR="002E2E1D">
        <w:rPr>
          <w:rFonts w:ascii="Trebuchet MS" w:hAnsi="Trebuchet MS"/>
        </w:rPr>
        <w:tab/>
      </w:r>
      <w:r w:rsidR="002E2E1D">
        <w:rPr>
          <w:rFonts w:ascii="Trebuchet MS" w:hAnsi="Trebuchet MS"/>
        </w:rPr>
        <w:tab/>
      </w:r>
      <w:r>
        <w:rPr>
          <w:rFonts w:ascii="Trebuchet MS" w:hAnsi="Trebuchet MS"/>
        </w:rPr>
        <w:t>08:30 – 15:30 Uhr</w:t>
      </w:r>
    </w:p>
    <w:p w:rsidR="00A67B16" w:rsidRDefault="00A67B16">
      <w:pPr>
        <w:spacing w:line="360" w:lineRule="auto"/>
        <w:jc w:val="both"/>
        <w:rPr>
          <w:rFonts w:ascii="Trebuchet MS" w:eastAsia="Trebuchet MS" w:hAnsi="Trebuchet MS" w:cs="Trebuchet MS"/>
        </w:rPr>
      </w:pPr>
    </w:p>
    <w:p w:rsidR="00A67B16" w:rsidRDefault="009E1EDD">
      <w:pPr>
        <w:spacing w:line="360" w:lineRule="auto"/>
        <w:jc w:val="both"/>
        <w:rPr>
          <w:rFonts w:ascii="Trebuchet MS" w:eastAsia="Trebuchet MS" w:hAnsi="Trebuchet MS" w:cs="Trebuchet MS"/>
          <w:b/>
          <w:bCs/>
        </w:rPr>
      </w:pPr>
      <w:r>
        <w:rPr>
          <w:rFonts w:ascii="Trebuchet MS" w:hAnsi="Trebuchet MS"/>
          <w:b/>
          <w:bCs/>
        </w:rPr>
        <w:t>Kursinhalt:</w:t>
      </w:r>
    </w:p>
    <w:p w:rsidR="00CF0EDB" w:rsidRPr="00CF0EDB" w:rsidRDefault="00CD3297" w:rsidP="00CF0EDB">
      <w:pPr>
        <w:spacing w:line="360" w:lineRule="auto"/>
        <w:jc w:val="both"/>
        <w:rPr>
          <w:rFonts w:ascii="Trebuchet MS" w:eastAsia="Trebuchet MS" w:hAnsi="Trebuchet MS" w:cs="Trebuchet MS"/>
          <w:bCs/>
        </w:rPr>
      </w:pPr>
      <w:r>
        <w:rPr>
          <w:rFonts w:ascii="Trebuchet MS" w:eastAsia="Trebuchet MS" w:hAnsi="Trebuchet MS" w:cs="Trebuchet MS"/>
          <w:bCs/>
        </w:rPr>
        <w:t xml:space="preserve">Patienten mit neurologischen </w:t>
      </w:r>
      <w:r w:rsidR="00CF0EDB" w:rsidRPr="00CF0EDB">
        <w:rPr>
          <w:rFonts w:ascii="Trebuchet MS" w:eastAsia="Trebuchet MS" w:hAnsi="Trebuchet MS" w:cs="Trebuchet MS"/>
          <w:bCs/>
        </w:rPr>
        <w:t>Erkrankungen leiden häufig unter Beeinträchtigungen der Exekutivfunktionen. Für Patienten mit psychischen Störungen stellen reduzierte Exekutivfunktionen ein wesentliches Kernmerkmal des neurokognitiven Profils dar. Etwa fünfzig Prozent aller Patienten mit psychischen Störungen sind von einer Beeinträchtigung dieser Funktionen betroffen.  Exekutivfunktion</w:t>
      </w:r>
      <w:r>
        <w:rPr>
          <w:rFonts w:ascii="Trebuchet MS" w:eastAsia="Trebuchet MS" w:hAnsi="Trebuchet MS" w:cs="Trebuchet MS"/>
          <w:bCs/>
        </w:rPr>
        <w:t>en stellen den Link zwischen den</w:t>
      </w:r>
      <w:r w:rsidR="00CF0EDB" w:rsidRPr="00CF0EDB">
        <w:rPr>
          <w:rFonts w:ascii="Trebuchet MS" w:eastAsia="Trebuchet MS" w:hAnsi="Trebuchet MS" w:cs="Trebuchet MS"/>
          <w:bCs/>
        </w:rPr>
        <w:t xml:space="preserve"> neuro- und soziokognitiven Beeinträchtigungen dar und haben deshalb eine besondere Relevanz für die alltagsbezogene berufliche Leistungsfähigkeit</w:t>
      </w:r>
      <w:r>
        <w:rPr>
          <w:rFonts w:ascii="Trebuchet MS" w:eastAsia="Trebuchet MS" w:hAnsi="Trebuchet MS" w:cs="Trebuchet MS"/>
          <w:bCs/>
        </w:rPr>
        <w:t>,</w:t>
      </w:r>
      <w:r w:rsidR="00CF0EDB" w:rsidRPr="00CF0EDB">
        <w:rPr>
          <w:rFonts w:ascii="Trebuchet MS" w:eastAsia="Trebuchet MS" w:hAnsi="Trebuchet MS" w:cs="Trebuchet MS"/>
          <w:bCs/>
        </w:rPr>
        <w:t xml:space="preserve"> aber auch für das soziale Leben. Einschränkungen in kognitiven Teilleistungen, die den Exekutivfunktionen zugeordnet werden, führen oft zu einer chronischen Überforderung des Patienten und seiner Angehörigen. Deshalb ist neben einer neuropsycholoschen Restitutions- oder Kompensationstherapie oft auch eine emotionale Stabilis</w:t>
      </w:r>
      <w:r w:rsidR="00EB7594">
        <w:rPr>
          <w:rFonts w:ascii="Trebuchet MS" w:eastAsia="Trebuchet MS" w:hAnsi="Trebuchet MS" w:cs="Trebuchet MS"/>
          <w:bCs/>
        </w:rPr>
        <w:t>i</w:t>
      </w:r>
      <w:r w:rsidR="00CF0EDB" w:rsidRPr="00CF0EDB">
        <w:rPr>
          <w:rFonts w:ascii="Trebuchet MS" w:eastAsia="Trebuchet MS" w:hAnsi="Trebuchet MS" w:cs="Trebuchet MS"/>
          <w:bCs/>
        </w:rPr>
        <w:t>erung des Patienten und seines Umfeldes angezeigt.</w:t>
      </w:r>
    </w:p>
    <w:p w:rsidR="00CF0EDB" w:rsidRPr="00CF0EDB" w:rsidRDefault="00CF0EDB" w:rsidP="00CF0EDB">
      <w:pPr>
        <w:numPr>
          <w:ilvl w:val="0"/>
          <w:numId w:val="1"/>
        </w:numPr>
        <w:spacing w:line="360" w:lineRule="auto"/>
        <w:jc w:val="both"/>
        <w:rPr>
          <w:rFonts w:ascii="Trebuchet MS" w:eastAsia="Trebuchet MS" w:hAnsi="Trebuchet MS" w:cs="Trebuchet MS"/>
          <w:bCs/>
        </w:rPr>
      </w:pPr>
      <w:r w:rsidRPr="00CF0EDB">
        <w:rPr>
          <w:rFonts w:ascii="Trebuchet MS" w:eastAsia="Trebuchet MS" w:hAnsi="Trebuchet MS" w:cs="Trebuchet MS"/>
          <w:bCs/>
        </w:rPr>
        <w:t>Im Workshop erfolgt eine Auseinandersetzung mit dem Konzept der Exekutivfunktionen aus neuropsychologisch-klinischer Perspektive. Dabei wird nicht nur di</w:t>
      </w:r>
      <w:r w:rsidR="00EB7594">
        <w:rPr>
          <w:rFonts w:ascii="Trebuchet MS" w:eastAsia="Trebuchet MS" w:hAnsi="Trebuchet MS" w:cs="Trebuchet MS"/>
          <w:bCs/>
        </w:rPr>
        <w:t>e klassisch neuropsychologische</w:t>
      </w:r>
      <w:r w:rsidRPr="00CF0EDB">
        <w:rPr>
          <w:rFonts w:ascii="Trebuchet MS" w:eastAsia="Trebuchet MS" w:hAnsi="Trebuchet MS" w:cs="Trebuchet MS"/>
          <w:bCs/>
        </w:rPr>
        <w:t xml:space="preserve">, also die kognitive Ebene der Exekutivfunktionen berücksichtigt, sondern auch auf motivationale und emotionale Aspekte eingegangen, die die Planung und Erreichung von Handlungszielen gefährden können. </w:t>
      </w:r>
    </w:p>
    <w:p w:rsidR="00CF0EDB" w:rsidRPr="00CF0EDB" w:rsidRDefault="00EB7594" w:rsidP="00CF0EDB">
      <w:pPr>
        <w:numPr>
          <w:ilvl w:val="0"/>
          <w:numId w:val="1"/>
        </w:numPr>
        <w:spacing w:line="360" w:lineRule="auto"/>
        <w:jc w:val="both"/>
        <w:rPr>
          <w:rFonts w:ascii="Trebuchet MS" w:eastAsia="Trebuchet MS" w:hAnsi="Trebuchet MS" w:cs="Trebuchet MS"/>
          <w:bCs/>
        </w:rPr>
      </w:pPr>
      <w:r>
        <w:rPr>
          <w:rFonts w:ascii="Trebuchet MS" w:eastAsia="Trebuchet MS" w:hAnsi="Trebuchet MS" w:cs="Trebuchet MS"/>
          <w:bCs/>
        </w:rPr>
        <w:lastRenderedPageBreak/>
        <w:t>Es werden die n</w:t>
      </w:r>
      <w:r w:rsidR="00CF0EDB" w:rsidRPr="00CF0EDB">
        <w:rPr>
          <w:rFonts w:ascii="Trebuchet MS" w:eastAsia="Trebuchet MS" w:hAnsi="Trebuchet MS" w:cs="Trebuchet MS"/>
          <w:bCs/>
        </w:rPr>
        <w:t xml:space="preserve">euroanatomischen und neurophysiologischen Grundlagen der Exekutivfunktionen dargestellt. </w:t>
      </w:r>
    </w:p>
    <w:p w:rsidR="00CF0EDB" w:rsidRPr="00CF0EDB" w:rsidRDefault="00CF0EDB" w:rsidP="00CF0EDB">
      <w:pPr>
        <w:numPr>
          <w:ilvl w:val="0"/>
          <w:numId w:val="1"/>
        </w:numPr>
        <w:spacing w:line="360" w:lineRule="auto"/>
        <w:jc w:val="both"/>
        <w:rPr>
          <w:rFonts w:ascii="Trebuchet MS" w:eastAsia="Trebuchet MS" w:hAnsi="Trebuchet MS" w:cs="Trebuchet MS"/>
          <w:bCs/>
        </w:rPr>
      </w:pPr>
      <w:r w:rsidRPr="00CF0EDB">
        <w:rPr>
          <w:rFonts w:ascii="Trebuchet MS" w:eastAsia="Trebuchet MS" w:hAnsi="Trebuchet MS" w:cs="Trebuchet MS"/>
          <w:bCs/>
        </w:rPr>
        <w:t xml:space="preserve">Weiterhin werden Patienten mit </w:t>
      </w:r>
      <w:proofErr w:type="spellStart"/>
      <w:r w:rsidRPr="00CF0EDB">
        <w:rPr>
          <w:rFonts w:ascii="Trebuchet MS" w:eastAsia="Trebuchet MS" w:hAnsi="Trebuchet MS" w:cs="Trebuchet MS"/>
          <w:bCs/>
        </w:rPr>
        <w:t>dysexekutivem</w:t>
      </w:r>
      <w:proofErr w:type="spellEnd"/>
      <w:r w:rsidRPr="00CF0EDB">
        <w:rPr>
          <w:rFonts w:ascii="Trebuchet MS" w:eastAsia="Trebuchet MS" w:hAnsi="Trebuchet MS" w:cs="Trebuchet MS"/>
          <w:bCs/>
        </w:rPr>
        <w:t xml:space="preserve"> Syndrom im Plenum vorgestellt. Eine klinische Exploration von </w:t>
      </w:r>
      <w:proofErr w:type="spellStart"/>
      <w:r w:rsidRPr="00CF0EDB">
        <w:rPr>
          <w:rFonts w:ascii="Trebuchet MS" w:eastAsia="Trebuchet MS" w:hAnsi="Trebuchet MS" w:cs="Trebuchet MS"/>
          <w:bCs/>
        </w:rPr>
        <w:t>dysexekutiven</w:t>
      </w:r>
      <w:proofErr w:type="spellEnd"/>
      <w:r w:rsidRPr="00CF0EDB">
        <w:rPr>
          <w:rFonts w:ascii="Trebuchet MS" w:eastAsia="Trebuchet MS" w:hAnsi="Trebuchet MS" w:cs="Trebuchet MS"/>
          <w:bCs/>
        </w:rPr>
        <w:t xml:space="preserve"> Störungen soll praktisch erprobt und eingeübt werden. </w:t>
      </w:r>
    </w:p>
    <w:p w:rsidR="00CF0EDB" w:rsidRPr="00EB7594" w:rsidRDefault="00CF0EDB" w:rsidP="00EB7594">
      <w:pPr>
        <w:numPr>
          <w:ilvl w:val="0"/>
          <w:numId w:val="1"/>
        </w:numPr>
        <w:spacing w:line="360" w:lineRule="auto"/>
        <w:jc w:val="both"/>
        <w:rPr>
          <w:rFonts w:ascii="Trebuchet MS" w:eastAsia="Trebuchet MS" w:hAnsi="Trebuchet MS" w:cs="Trebuchet MS"/>
          <w:bCs/>
        </w:rPr>
      </w:pPr>
      <w:r w:rsidRPr="00EB7594">
        <w:rPr>
          <w:rFonts w:ascii="Trebuchet MS" w:eastAsia="Trebuchet MS" w:hAnsi="Trebuchet MS" w:cs="Trebuchet MS"/>
          <w:bCs/>
        </w:rPr>
        <w:t>Es wird umfassend und differenziert auf die verschie</w:t>
      </w:r>
      <w:r w:rsidR="00CD3297" w:rsidRPr="00EB7594">
        <w:rPr>
          <w:rFonts w:ascii="Trebuchet MS" w:eastAsia="Trebuchet MS" w:hAnsi="Trebuchet MS" w:cs="Trebuchet MS"/>
          <w:bCs/>
        </w:rPr>
        <w:t xml:space="preserve">denen diagnostischen Verfahren </w:t>
      </w:r>
      <w:r w:rsidRPr="00EB7594">
        <w:rPr>
          <w:rFonts w:ascii="Trebuchet MS" w:eastAsia="Trebuchet MS" w:hAnsi="Trebuchet MS" w:cs="Trebuchet MS"/>
          <w:bCs/>
        </w:rPr>
        <w:t xml:space="preserve">eingegangen.  Vor-und Nachteile der diagnostischen Verfahren können in Kleingruppen praktisch erprobt werden. </w:t>
      </w:r>
      <w:r w:rsidR="00EB7594" w:rsidRPr="00EB7594">
        <w:rPr>
          <w:rFonts w:ascii="Trebuchet MS" w:eastAsia="Trebuchet MS" w:hAnsi="Trebuchet MS" w:cs="Trebuchet MS"/>
          <w:bCs/>
        </w:rPr>
        <w:t>Dazu steht das umfassende diagnost</w:t>
      </w:r>
      <w:r w:rsidR="00EB7594">
        <w:rPr>
          <w:rFonts w:ascii="Trebuchet MS" w:eastAsia="Trebuchet MS" w:hAnsi="Trebuchet MS" w:cs="Trebuchet MS"/>
          <w:bCs/>
        </w:rPr>
        <w:t>ische Repertoire der Sektion fü</w:t>
      </w:r>
      <w:r w:rsidR="00EB7594" w:rsidRPr="00EB7594">
        <w:rPr>
          <w:rFonts w:ascii="Trebuchet MS" w:eastAsia="Trebuchet MS" w:hAnsi="Trebuchet MS" w:cs="Trebuchet MS"/>
          <w:bCs/>
        </w:rPr>
        <w:t>r Klinische Psychologie und Neuropsychologie d</w:t>
      </w:r>
      <w:r w:rsidR="00EB7594">
        <w:rPr>
          <w:rFonts w:ascii="Trebuchet MS" w:eastAsia="Trebuchet MS" w:hAnsi="Trebuchet MS" w:cs="Trebuchet MS"/>
          <w:bCs/>
        </w:rPr>
        <w:t>es Klinikums Karlsbad zur Verfügung.</w:t>
      </w:r>
    </w:p>
    <w:p w:rsidR="00CF0EDB" w:rsidRPr="00CF0EDB" w:rsidRDefault="00CF0EDB" w:rsidP="00CF0EDB">
      <w:pPr>
        <w:numPr>
          <w:ilvl w:val="0"/>
          <w:numId w:val="1"/>
        </w:numPr>
        <w:spacing w:line="360" w:lineRule="auto"/>
        <w:jc w:val="both"/>
        <w:rPr>
          <w:rFonts w:ascii="Trebuchet MS" w:eastAsia="Trebuchet MS" w:hAnsi="Trebuchet MS" w:cs="Trebuchet MS"/>
          <w:bCs/>
        </w:rPr>
      </w:pPr>
      <w:r w:rsidRPr="00CF0EDB">
        <w:rPr>
          <w:rFonts w:ascii="Trebuchet MS" w:eastAsia="Trebuchet MS" w:hAnsi="Trebuchet MS" w:cs="Trebuchet MS"/>
          <w:bCs/>
        </w:rPr>
        <w:t>Zudem wird die Vorstellung von Behandl</w:t>
      </w:r>
      <w:r w:rsidR="001C098B">
        <w:rPr>
          <w:rFonts w:ascii="Trebuchet MS" w:eastAsia="Trebuchet MS" w:hAnsi="Trebuchet MS" w:cs="Trebuchet MS"/>
          <w:bCs/>
        </w:rPr>
        <w:t>ungs- und Therapiemöglichkeiten</w:t>
      </w:r>
      <w:r w:rsidRPr="00CF0EDB">
        <w:rPr>
          <w:rFonts w:ascii="Trebuchet MS" w:eastAsia="Trebuchet MS" w:hAnsi="Trebuchet MS" w:cs="Trebuchet MS"/>
          <w:bCs/>
        </w:rPr>
        <w:t xml:space="preserve"> </w:t>
      </w:r>
      <w:proofErr w:type="spellStart"/>
      <w:r w:rsidRPr="00CF0EDB">
        <w:rPr>
          <w:rFonts w:ascii="Trebuchet MS" w:eastAsia="Trebuchet MS" w:hAnsi="Trebuchet MS" w:cs="Trebuchet MS"/>
          <w:bCs/>
        </w:rPr>
        <w:t>dysexekutiver</w:t>
      </w:r>
      <w:proofErr w:type="spellEnd"/>
      <w:r w:rsidRPr="00CF0EDB">
        <w:rPr>
          <w:rFonts w:ascii="Trebuchet MS" w:eastAsia="Trebuchet MS" w:hAnsi="Trebuchet MS" w:cs="Trebuchet MS"/>
          <w:bCs/>
        </w:rPr>
        <w:t xml:space="preserve"> Störungen einen breiten Raum einnehmen. Hierzu werden neuropsychologische Behandlungsverfahren und verhaltenstherapeutische Techniken zur Verhaltensmodifikation vorgestellt und eigenständig erprobt.</w:t>
      </w:r>
    </w:p>
    <w:p w:rsidR="00CF0EDB" w:rsidRPr="00CF0EDB" w:rsidRDefault="00CF0EDB" w:rsidP="00CF0EDB">
      <w:pPr>
        <w:spacing w:line="360" w:lineRule="auto"/>
        <w:jc w:val="both"/>
        <w:rPr>
          <w:rFonts w:ascii="Trebuchet MS" w:eastAsia="Trebuchet MS" w:hAnsi="Trebuchet MS" w:cs="Trebuchet MS"/>
          <w:bCs/>
        </w:rPr>
      </w:pPr>
    </w:p>
    <w:p w:rsidR="00CF0EDB" w:rsidRDefault="00CF1F85" w:rsidP="00CF0EDB">
      <w:pPr>
        <w:spacing w:line="360" w:lineRule="auto"/>
        <w:jc w:val="both"/>
        <w:rPr>
          <w:rFonts w:ascii="Trebuchet MS" w:eastAsia="Trebuchet MS" w:hAnsi="Trebuchet MS" w:cs="Trebuchet MS"/>
          <w:b/>
          <w:bCs/>
        </w:rPr>
      </w:pPr>
      <w:r w:rsidRPr="00CF0EDB">
        <w:rPr>
          <w:rFonts w:ascii="Trebuchet MS" w:eastAsia="Trebuchet MS" w:hAnsi="Trebuchet MS" w:cs="Trebuchet MS"/>
          <w:bCs/>
          <w:noProof/>
        </w:rPr>
        <w:drawing>
          <wp:anchor distT="0" distB="0" distL="114300" distR="114300" simplePos="0" relativeHeight="251658240" behindDoc="1" locked="0" layoutInCell="1" allowOverlap="1" wp14:anchorId="46434CDE">
            <wp:simplePos x="0" y="0"/>
            <wp:positionH relativeFrom="column">
              <wp:posOffset>3792855</wp:posOffset>
            </wp:positionH>
            <wp:positionV relativeFrom="paragraph">
              <wp:posOffset>223237</wp:posOffset>
            </wp:positionV>
            <wp:extent cx="2125345" cy="1552575"/>
            <wp:effectExtent l="0" t="0" r="0" b="0"/>
            <wp:wrapTight wrapText="bothSides">
              <wp:wrapPolygon edited="0">
                <wp:start x="0" y="0"/>
                <wp:lineTo x="0" y="21379"/>
                <wp:lineTo x="21426" y="21379"/>
                <wp:lineTo x="21426" y="0"/>
                <wp:lineTo x="0" y="0"/>
              </wp:wrapPolygon>
            </wp:wrapTight>
            <wp:docPr id="2" name="Bild 2" descr="Steffen Aschenbre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Steffen Aschenbrenne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34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EDB">
        <w:rPr>
          <w:rFonts w:ascii="Trebuchet MS" w:hAnsi="Trebuchet MS"/>
          <w:b/>
          <w:bCs/>
        </w:rPr>
        <w:t>Referent:</w:t>
      </w:r>
    </w:p>
    <w:p w:rsidR="00CF0EDB" w:rsidRPr="00CF0EDB" w:rsidRDefault="00CF0EDB" w:rsidP="00CF1F85">
      <w:pPr>
        <w:spacing w:line="360" w:lineRule="auto"/>
        <w:jc w:val="both"/>
        <w:rPr>
          <w:rFonts w:ascii="Trebuchet MS" w:eastAsia="Trebuchet MS" w:hAnsi="Trebuchet MS" w:cs="Trebuchet MS"/>
          <w:bCs/>
        </w:rPr>
      </w:pPr>
      <w:r w:rsidRPr="00CF0EDB">
        <w:rPr>
          <w:rFonts w:ascii="Trebuchet MS" w:eastAsia="Trebuchet MS" w:hAnsi="Trebuchet MS" w:cs="Trebuchet MS"/>
          <w:bCs/>
        </w:rPr>
        <w:t>Der Referent ist klinischer Neuropsychologe und Psychologischer Psychotherapeut. Er behandelt seit über 10 Jahren Patienten mit Störungen der Exekutivfunktionen in allen Rehabilitationsphasen von der neurologischen Frührehabilitation bis zum ambulanten Setting. Unter seiner Führung wurden in den letzten Jahren verschiedene Verfahren zur Diagnostik und neuropsychologischen Therapie von Exekutivfunktionen entwickelt und publiziert.</w:t>
      </w:r>
    </w:p>
    <w:p w:rsidR="00CF1F85" w:rsidRDefault="00CF1F85">
      <w:pPr>
        <w:spacing w:line="360" w:lineRule="auto"/>
        <w:jc w:val="both"/>
        <w:rPr>
          <w:rFonts w:ascii="Trebuchet MS" w:eastAsia="Trebuchet MS" w:hAnsi="Trebuchet MS" w:cs="Trebuchet MS"/>
          <w:b/>
          <w:bCs/>
        </w:rPr>
      </w:pPr>
    </w:p>
    <w:p w:rsidR="00A67B16" w:rsidRDefault="009E1EDD">
      <w:pPr>
        <w:spacing w:line="360" w:lineRule="auto"/>
        <w:jc w:val="both"/>
        <w:rPr>
          <w:rFonts w:ascii="Trebuchet MS" w:hAnsi="Trebuchet MS"/>
          <w:b/>
          <w:bCs/>
        </w:rPr>
      </w:pPr>
      <w:r>
        <w:rPr>
          <w:rFonts w:ascii="Trebuchet MS" w:hAnsi="Trebuchet MS"/>
          <w:b/>
          <w:bCs/>
        </w:rPr>
        <w:t>Organisatorisches:</w:t>
      </w:r>
    </w:p>
    <w:p w:rsidR="001C098B" w:rsidRDefault="00F92315">
      <w:pPr>
        <w:spacing w:line="360" w:lineRule="auto"/>
        <w:jc w:val="both"/>
        <w:rPr>
          <w:rFonts w:ascii="Trebuchet MS" w:hAnsi="Trebuchet MS"/>
          <w:bCs/>
        </w:rPr>
      </w:pPr>
      <w:r>
        <w:rPr>
          <w:rFonts w:ascii="Trebuchet MS" w:hAnsi="Trebuchet MS"/>
          <w:bCs/>
        </w:rPr>
        <w:t>16</w:t>
      </w:r>
      <w:r w:rsidR="001C098B" w:rsidRPr="001C098B">
        <w:rPr>
          <w:rFonts w:ascii="Trebuchet MS" w:hAnsi="Trebuchet MS"/>
          <w:bCs/>
        </w:rPr>
        <w:t xml:space="preserve"> Fortbildungseinheiten</w:t>
      </w:r>
    </w:p>
    <w:p w:rsidR="001C098B" w:rsidRPr="001C098B" w:rsidRDefault="001C098B">
      <w:pPr>
        <w:spacing w:line="360" w:lineRule="auto"/>
        <w:jc w:val="both"/>
        <w:rPr>
          <w:rFonts w:ascii="Trebuchet MS" w:hAnsi="Trebuchet MS"/>
          <w:bCs/>
        </w:rPr>
      </w:pPr>
      <w:r>
        <w:rPr>
          <w:rFonts w:ascii="Trebuchet MS" w:hAnsi="Trebuchet MS"/>
          <w:bCs/>
        </w:rPr>
        <w:t>Anerkennung durch die GNP für Punkt 9 (Curriculum 2007) bzw. „Spezielle Neuropsychologie“ (Curriculum 2017)</w:t>
      </w:r>
    </w:p>
    <w:sectPr w:rsidR="001C098B" w:rsidRPr="001C098B">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37E" w:rsidRDefault="0070437E">
      <w:r>
        <w:separator/>
      </w:r>
    </w:p>
  </w:endnote>
  <w:endnote w:type="continuationSeparator" w:id="0">
    <w:p w:rsidR="0070437E" w:rsidRDefault="0070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B16" w:rsidRDefault="00A67B1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37E" w:rsidRDefault="0070437E">
      <w:r>
        <w:separator/>
      </w:r>
    </w:p>
  </w:footnote>
  <w:footnote w:type="continuationSeparator" w:id="0">
    <w:p w:rsidR="0070437E" w:rsidRDefault="00704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B16" w:rsidRDefault="00A67B1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461"/>
    <w:multiLevelType w:val="hybridMultilevel"/>
    <w:tmpl w:val="1654E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B16"/>
    <w:rsid w:val="00146259"/>
    <w:rsid w:val="001B6245"/>
    <w:rsid w:val="001C098B"/>
    <w:rsid w:val="002E2E1D"/>
    <w:rsid w:val="003B1CFE"/>
    <w:rsid w:val="00460B06"/>
    <w:rsid w:val="0070437E"/>
    <w:rsid w:val="00706620"/>
    <w:rsid w:val="00884582"/>
    <w:rsid w:val="008A7893"/>
    <w:rsid w:val="009E1EDD"/>
    <w:rsid w:val="00A67B16"/>
    <w:rsid w:val="00AC0CAE"/>
    <w:rsid w:val="00CD3297"/>
    <w:rsid w:val="00CF0EDB"/>
    <w:rsid w:val="00CF1F85"/>
    <w:rsid w:val="00E41A3A"/>
    <w:rsid w:val="00EB7594"/>
    <w:rsid w:val="00F92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A0B2"/>
  <w15:docId w15:val="{53DEF85D-8C73-E542-81C2-7266C498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BodyAA">
    <w:name w:val="Body A A"/>
    <w:rPr>
      <w:rFonts w:ascii="Helvetica Neue" w:hAnsi="Helvetica Neue" w:cs="Arial Unicode MS"/>
      <w:color w:val="000000"/>
      <w:sz w:val="22"/>
      <w:szCs w:val="22"/>
      <w:u w:color="000000"/>
    </w:rPr>
  </w:style>
  <w:style w:type="paragraph" w:styleId="Listenabsatz">
    <w:name w:val="List Paragraph"/>
    <w:basedOn w:val="Standard"/>
    <w:uiPriority w:val="34"/>
    <w:qFormat/>
    <w:rsid w:val="00EB7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 König</cp:lastModifiedBy>
  <cp:revision>8</cp:revision>
  <dcterms:created xsi:type="dcterms:W3CDTF">2018-04-24T12:17:00Z</dcterms:created>
  <dcterms:modified xsi:type="dcterms:W3CDTF">2020-03-08T11:49:00Z</dcterms:modified>
</cp:coreProperties>
</file>